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6"/>
        </w:rPr>
        <w:t>REQUEST FOR QUOTE</w:t>
      </w:r>
    </w:p>
    <w:p>
      <w:pPr>
        <w:spacing w:after="360"/>
        <w:jc w:val="center"/>
      </w:pPr>
      <w:r>
        <w:rPr>
          <w:rFonts w:ascii="Arial" w:hAnsi="Arial"/>
          <w:i/>
          <w:sz w:val="24"/>
        </w:rPr>
        <w:t>Nonappropriated Funds (NAF) Solicitation</w:t>
      </w:r>
    </w:p>
    <w:tbl>
      <w:tblPr>
        <w:tblW w:type="auto" w:w="0"/>
        <w:jc w:val="left"/>
        <w:tblLayout w:type="fixed"/>
        <w:tblLook w:firstColumn="1" w:firstRow="1" w:lastColumn="0" w:lastRow="0" w:noHBand="0" w:noVBand="1" w:val="04A0"/>
      </w:tblPr>
      <w:tblGrid>
        <w:gridCol w:w="2880"/>
        <w:gridCol w:w="6480"/>
      </w:tblGrid>
      <w:tr>
        <w:tc>
          <w:tcPr>
            <w:tcW w:type="dxa" w:w="2880"/>
            <w:shd w:val="clear" w:color="auto" w:fill="F2F2F2"/>
          </w:tcPr>
          <w:p>
            <w:r>
              <w:rPr>
                <w:b/>
                <w:sz w:val="20"/>
              </w:rPr>
              <w:t>Solicitation Number</w:t>
            </w:r>
          </w:p>
        </w:tc>
        <w:tc>
          <w:tcPr>
            <w:tcW w:type="dxa" w:w="6480"/>
          </w:tcPr>
          <w:p>
            <w:r>
              <w:rPr>
                <w:i/>
                <w:color w:val="7F7F7F"/>
                <w:sz w:val="20"/>
              </w:rPr>
              <w:t>[INSERT]</w:t>
            </w:r>
          </w:p>
        </w:tc>
      </w:tr>
      <w:tr>
        <w:tc>
          <w:tcPr>
            <w:tcW w:type="dxa" w:w="2880"/>
            <w:shd w:val="clear" w:color="auto" w:fill="F2F2F2"/>
          </w:tcPr>
          <w:p>
            <w:r>
              <w:rPr>
                <w:b/>
                <w:sz w:val="20"/>
              </w:rPr>
              <w:t>Title</w:t>
            </w:r>
          </w:p>
        </w:tc>
        <w:tc>
          <w:tcPr>
            <w:tcW w:type="dxa" w:w="6480"/>
          </w:tcPr>
          <w:p>
            <w:r>
              <w:rPr>
                <w:i/>
                <w:color w:val="7F7F7F"/>
                <w:sz w:val="20"/>
              </w:rPr>
              <w:t>[INSERT REQUIREMENT TITLE]</w:t>
            </w:r>
          </w:p>
        </w:tc>
      </w:tr>
      <w:tr>
        <w:tc>
          <w:tcPr>
            <w:tcW w:type="dxa" w:w="2880"/>
            <w:shd w:val="clear" w:color="auto" w:fill="F2F2F2"/>
          </w:tcPr>
          <w:p>
            <w:r>
              <w:rPr>
                <w:b/>
                <w:sz w:val="20"/>
              </w:rPr>
              <w:t>Issue Date</w:t>
            </w:r>
          </w:p>
        </w:tc>
        <w:tc>
          <w:tcPr>
            <w:tcW w:type="dxa" w:w="6480"/>
          </w:tcPr>
          <w:p>
            <w:r>
              <w:rPr>
                <w:i/>
                <w:color w:val="7F7F7F"/>
                <w:sz w:val="20"/>
              </w:rPr>
              <w:t>[INSERT]</w:t>
            </w:r>
          </w:p>
        </w:tc>
      </w:tr>
      <w:tr>
        <w:tc>
          <w:tcPr>
            <w:tcW w:type="dxa" w:w="2880"/>
            <w:shd w:val="clear" w:color="auto" w:fill="F2F2F2"/>
          </w:tcPr>
          <w:p>
            <w:r>
              <w:rPr>
                <w:b/>
                <w:sz w:val="20"/>
              </w:rPr>
              <w:t>Quotes Due</w:t>
            </w:r>
          </w:p>
        </w:tc>
        <w:tc>
          <w:tcPr>
            <w:tcW w:type="dxa" w:w="6480"/>
          </w:tcPr>
          <w:p>
            <w:r>
              <w:rPr>
                <w:i/>
                <w:color w:val="7F7F7F"/>
                <w:sz w:val="20"/>
              </w:rPr>
              <w:t>[INSERT DATE / TIME / TIME ZONE]</w:t>
            </w:r>
          </w:p>
        </w:tc>
      </w:tr>
      <w:tr>
        <w:tc>
          <w:tcPr>
            <w:tcW w:type="dxa" w:w="2880"/>
            <w:shd w:val="clear" w:color="auto" w:fill="F2F2F2"/>
          </w:tcPr>
          <w:p>
            <w:r>
              <w:rPr>
                <w:b/>
                <w:sz w:val="20"/>
              </w:rPr>
              <w:t>Issuing NAFI / Activity</w:t>
            </w:r>
          </w:p>
        </w:tc>
        <w:tc>
          <w:tcPr>
            <w:tcW w:type="dxa" w:w="6480"/>
          </w:tcPr>
          <w:p>
            <w:r>
              <w:rPr>
                <w:i/>
                <w:color w:val="7F7F7F"/>
                <w:sz w:val="20"/>
              </w:rPr>
              <w:t>[INSERT, e.g., 99 FSS Outdoor Recreation, Joint Base ___]</w:t>
            </w:r>
          </w:p>
        </w:tc>
      </w:tr>
      <w:tr>
        <w:tc>
          <w:tcPr>
            <w:tcW w:type="dxa" w:w="2880"/>
            <w:shd w:val="clear" w:color="auto" w:fill="F2F2F2"/>
          </w:tcPr>
          <w:p>
            <w:r>
              <w:rPr>
                <w:b/>
                <w:sz w:val="20"/>
              </w:rPr>
              <w:t>NAF Contracting Officer</w:t>
            </w:r>
          </w:p>
        </w:tc>
        <w:tc>
          <w:tcPr>
            <w:tcW w:type="dxa" w:w="6480"/>
          </w:tcPr>
          <w:p>
            <w:r>
              <w:rPr>
                <w:i/>
                <w:color w:val="7F7F7F"/>
                <w:sz w:val="20"/>
              </w:rPr>
              <w:t>[INSERT NAME, EMAIL, PHONE]</w:t>
            </w:r>
          </w:p>
        </w:tc>
      </w:tr>
    </w:tbl>
    <w:p/>
    <w:p>
      <w:pPr>
        <w:spacing w:after="240"/>
      </w:pPr>
      <w:r>
        <w:rPr>
          <w:i/>
          <w:color w:val="7F7F7F"/>
          <w:sz w:val="18"/>
        </w:rPr>
        <w:t>EDITOR NOTE. This is a simplified template. Replace every [INSERT] field with the values for your action. Delete bracketed instructions in italics before issuing. Pair with an attached Statement of Work or Performance Work Statement (SOW or PWS), an Independent Government Cost Estimate (IGCE), and a Market Research file. Always cross-check the current NAF Standard Clauses and any applicable NFC- clauses on AFNAFPO (afnafpo.afsv.net) before issuing. Authority: DAFMAN 64-119, Nonappropriated Fund (NAF) Contracting Procedures.</w:t>
      </w:r>
    </w:p>
    <w:p>
      <w:pPr>
        <w:spacing w:before="280" w:after="120"/>
      </w:pPr>
      <w:r>
        <w:rPr>
          <w:rFonts w:ascii="Arial" w:hAnsi="Arial"/>
          <w:b/>
          <w:sz w:val="26"/>
        </w:rPr>
        <w:t>Section A — Solicitation Overview</w:t>
      </w:r>
    </w:p>
    <w:p>
      <w:pPr>
        <w:spacing w:after="120"/>
      </w:pPr>
      <w:r>
        <w:t>The [Issuing NAFI / Activity] is soliciting quotes for the requirement described below. This solicitation is issued under Nonappropriated Funds authority pursuant to DAFMAN 64-119 and DoDI 4105.67. The Federal Acquisition Regulation does not apply. The Competition in Contracting Act does not apply. Disputes will not be heard by the Government Accountability Office or under the Contract Disputes Act.</w:t>
      </w:r>
    </w:p>
    <w:p>
      <w:pPr>
        <w:spacing w:after="120"/>
      </w:pPr>
      <w:r>
        <w:t>Award will be made on the basis described in Section D. The contract resulting from this solicitation will incorporate the AFNAFPO Nonappropriated Fund Standard Clauses and the applicable NAF Standard Clauses Incorporated by Reference (NFC- series), as published by the Air Force Nonappropriated Fund Purchasing Office at afnafpo.afsv.net.</w:t>
      </w:r>
    </w:p>
    <w:p>
      <w:pPr>
        <w:spacing w:after="120"/>
      </w:pPr>
      <w:r>
        <w:rPr>
          <w:b/>
        </w:rPr>
        <w:t>Acquisition method:</w:t>
      </w:r>
    </w:p>
    <w:p>
      <w:pPr>
        <w:pStyle w:val="ListBullet"/>
        <w:spacing w:after="60"/>
      </w:pPr>
      <w:r>
        <w:t>Open Market (default)</w:t>
      </w:r>
    </w:p>
    <w:p>
      <w:pPr>
        <w:pStyle w:val="ListBullet"/>
        <w:spacing w:after="60"/>
      </w:pPr>
      <w:r>
        <w:t>Sole source / brand-name justification attached (delete if not applicable)</w:t>
      </w:r>
    </w:p>
    <w:p>
      <w:pPr>
        <w:spacing w:after="120"/>
      </w:pPr>
      <w:r>
        <w:rPr>
          <w:b/>
        </w:rPr>
        <w:t>Type of contract anticipated:</w:t>
      </w:r>
    </w:p>
    <w:p>
      <w:pPr>
        <w:pStyle w:val="ListBullet"/>
        <w:spacing w:after="60"/>
      </w:pPr>
      <w:r>
        <w:t>Firm-fixed-price supply or service contract (default)</w:t>
      </w:r>
    </w:p>
    <w:p>
      <w:pPr>
        <w:pStyle w:val="ListBullet"/>
        <w:spacing w:after="60"/>
      </w:pPr>
      <w:r>
        <w:t>Pre-Priced or Un-Priced Blanket Purchase Agreement (delete if not applicable)</w:t>
      </w:r>
    </w:p>
    <w:p>
      <w:pPr>
        <w:pStyle w:val="ListBullet"/>
        <w:spacing w:after="60"/>
      </w:pPr>
      <w:r>
        <w:t>Concessionaire or other specialty instrument (delete if not applicable)</w:t>
      </w:r>
    </w:p>
    <w:p>
      <w:pPr>
        <w:spacing w:before="280" w:after="120"/>
      </w:pPr>
      <w:r>
        <w:rPr>
          <w:rFonts w:ascii="Arial" w:hAnsi="Arial"/>
          <w:b/>
          <w:sz w:val="26"/>
        </w:rPr>
        <w:t>Section B — Schedule of Items / Services</w:t>
      </w:r>
    </w:p>
    <w:p>
      <w:pPr>
        <w:spacing w:after="120"/>
      </w:pPr>
      <w:r>
        <w:t>Quoters shall complete the schedule below. Add or remove rows as needed. Pricing shall be all-inclusive of labor, materials, travel, and any incidental costs unless a separate travel or other-direct-cost line is identified.</w:t>
      </w:r>
    </w:p>
    <w:tbl>
      <w:tblPr>
        <w:tblW w:type="auto" w:w="0"/>
        <w:jc w:val="center"/>
        <w:tblLayout w:type="fixed"/>
        <w:tblLook w:firstColumn="1" w:firstRow="1" w:lastColumn="0" w:lastRow="0" w:noHBand="0" w:noVBand="1" w:val="04A0"/>
      </w:tblPr>
      <w:tblGrid>
        <w:gridCol w:w="1872"/>
        <w:gridCol w:w="1872"/>
        <w:gridCol w:w="1872"/>
        <w:gridCol w:w="1872"/>
        <w:gridCol w:w="1872"/>
      </w:tblGrid>
      <w:tr>
        <w:tc>
          <w:tcPr>
            <w:tcW w:type="dxa" w:w="864"/>
            <w:shd w:val="clear" w:color="auto" w:fill="DDEBF7"/>
          </w:tcPr>
          <w:p>
            <w:r>
              <w:rPr>
                <w:b/>
                <w:sz w:val="20"/>
              </w:rPr>
              <w:t>Item No.</w:t>
            </w:r>
          </w:p>
        </w:tc>
        <w:tc>
          <w:tcPr>
            <w:tcW w:type="dxa" w:w="3744"/>
            <w:shd w:val="clear" w:color="auto" w:fill="DDEBF7"/>
          </w:tcPr>
          <w:p>
            <w:r>
              <w:rPr>
                <w:b/>
                <w:sz w:val="20"/>
              </w:rPr>
              <w:t>Description</w:t>
            </w:r>
          </w:p>
        </w:tc>
        <w:tc>
          <w:tcPr>
            <w:tcW w:type="dxa" w:w="1008"/>
            <w:shd w:val="clear" w:color="auto" w:fill="DDEBF7"/>
          </w:tcPr>
          <w:p>
            <w:r>
              <w:rPr>
                <w:b/>
                <w:sz w:val="20"/>
              </w:rPr>
              <w:t>Qty</w:t>
            </w:r>
          </w:p>
        </w:tc>
        <w:tc>
          <w:tcPr>
            <w:tcW w:type="dxa" w:w="1296"/>
            <w:shd w:val="clear" w:color="auto" w:fill="DDEBF7"/>
          </w:tcPr>
          <w:p>
            <w:r>
              <w:rPr>
                <w:b/>
                <w:sz w:val="20"/>
              </w:rPr>
              <w:t>Unit</w:t>
            </w:r>
          </w:p>
        </w:tc>
        <w:tc>
          <w:tcPr>
            <w:tcW w:type="dxa" w:w="1728"/>
            <w:shd w:val="clear" w:color="auto" w:fill="DDEBF7"/>
          </w:tcPr>
          <w:p>
            <w:r>
              <w:rPr>
                <w:b/>
                <w:sz w:val="20"/>
              </w:rPr>
              <w:t>Unit Price</w:t>
            </w:r>
          </w:p>
        </w:tc>
      </w:tr>
      <w:tr>
        <w:tc>
          <w:tcPr>
            <w:tcW w:type="dxa" w:w="864"/>
          </w:tcPr>
          <w:p>
            <w:r>
              <w:rPr>
                <w:sz w:val="20"/>
              </w:rPr>
              <w:t>0001</w:t>
            </w:r>
          </w:p>
        </w:tc>
        <w:tc>
          <w:tcPr>
            <w:tcW w:type="dxa" w:w="3744"/>
          </w:tcPr>
          <w:p>
            <w:r>
              <w:rPr>
                <w:i/>
                <w:color w:val="7F7F7F"/>
                <w:sz w:val="20"/>
              </w:rPr>
              <w:t>[INSERT BASE PERIOD ITEM/SERVICE DESCRIPTION]</w:t>
            </w:r>
          </w:p>
        </w:tc>
        <w:tc>
          <w:tcPr>
            <w:tcW w:type="dxa" w:w="1008"/>
          </w:tcPr>
          <w:p>
            <w:r>
              <w:rPr>
                <w:i/>
                <w:color w:val="7F7F7F"/>
                <w:sz w:val="20"/>
              </w:rPr>
              <w:t>[Qty]</w:t>
            </w:r>
          </w:p>
        </w:tc>
        <w:tc>
          <w:tcPr>
            <w:tcW w:type="dxa" w:w="1296"/>
          </w:tcPr>
          <w:p>
            <w:r>
              <w:rPr>
                <w:i/>
                <w:color w:val="7F7F7F"/>
                <w:sz w:val="20"/>
              </w:rPr>
              <w:t>[Unit]</w:t>
            </w:r>
          </w:p>
        </w:tc>
        <w:tc>
          <w:tcPr>
            <w:tcW w:type="dxa" w:w="1728"/>
          </w:tcPr>
          <w:p>
            <w:r>
              <w:rPr>
                <w:i/>
                <w:color w:val="7F7F7F"/>
                <w:sz w:val="20"/>
              </w:rPr>
              <w:t>$</w:t>
            </w:r>
          </w:p>
        </w:tc>
      </w:tr>
      <w:tr>
        <w:tc>
          <w:tcPr>
            <w:tcW w:type="dxa" w:w="864"/>
          </w:tcPr>
          <w:p>
            <w:r>
              <w:rPr>
                <w:sz w:val="20"/>
              </w:rPr>
              <w:t>0002</w:t>
            </w:r>
          </w:p>
        </w:tc>
        <w:tc>
          <w:tcPr>
            <w:tcW w:type="dxa" w:w="3744"/>
          </w:tcPr>
          <w:p>
            <w:r>
              <w:rPr>
                <w:i/>
                <w:color w:val="7F7F7F"/>
                <w:sz w:val="20"/>
              </w:rPr>
              <w:t>[INSERT BASE PERIOD ITEM/SERVICE DESCRIPTION]</w:t>
            </w:r>
          </w:p>
        </w:tc>
        <w:tc>
          <w:tcPr>
            <w:tcW w:type="dxa" w:w="1008"/>
          </w:tcPr>
          <w:p>
            <w:r>
              <w:rPr>
                <w:i/>
                <w:color w:val="7F7F7F"/>
                <w:sz w:val="20"/>
              </w:rPr>
              <w:t>[Qty]</w:t>
            </w:r>
          </w:p>
        </w:tc>
        <w:tc>
          <w:tcPr>
            <w:tcW w:type="dxa" w:w="1296"/>
          </w:tcPr>
          <w:p>
            <w:r>
              <w:rPr>
                <w:i/>
                <w:color w:val="7F7F7F"/>
                <w:sz w:val="20"/>
              </w:rPr>
              <w:t>[Unit]</w:t>
            </w:r>
          </w:p>
        </w:tc>
        <w:tc>
          <w:tcPr>
            <w:tcW w:type="dxa" w:w="1728"/>
          </w:tcPr>
          <w:p>
            <w:r>
              <w:rPr>
                <w:i/>
                <w:color w:val="7F7F7F"/>
                <w:sz w:val="20"/>
              </w:rPr>
              <w:t>$</w:t>
            </w:r>
          </w:p>
        </w:tc>
      </w:tr>
      <w:tr>
        <w:tc>
          <w:tcPr>
            <w:tcW w:type="dxa" w:w="864"/>
          </w:tcPr>
          <w:p>
            <w:r>
              <w:rPr>
                <w:sz w:val="20"/>
              </w:rPr>
              <w:t>1001</w:t>
            </w:r>
          </w:p>
        </w:tc>
        <w:tc>
          <w:tcPr>
            <w:tcW w:type="dxa" w:w="3744"/>
          </w:tcPr>
          <w:p>
            <w:r>
              <w:rPr>
                <w:i/>
                <w:color w:val="7F7F7F"/>
                <w:sz w:val="20"/>
              </w:rPr>
              <w:t>[INSERT OPTION YEAR 1 ITEM/SERVICE DESCRIPTION]</w:t>
            </w:r>
          </w:p>
        </w:tc>
        <w:tc>
          <w:tcPr>
            <w:tcW w:type="dxa" w:w="1008"/>
          </w:tcPr>
          <w:p>
            <w:r>
              <w:rPr>
                <w:i/>
                <w:color w:val="7F7F7F"/>
                <w:sz w:val="20"/>
              </w:rPr>
              <w:t>[Qty]</w:t>
            </w:r>
          </w:p>
        </w:tc>
        <w:tc>
          <w:tcPr>
            <w:tcW w:type="dxa" w:w="1296"/>
          </w:tcPr>
          <w:p>
            <w:r>
              <w:rPr>
                <w:i/>
                <w:color w:val="7F7F7F"/>
                <w:sz w:val="20"/>
              </w:rPr>
              <w:t>[Unit]</w:t>
            </w:r>
          </w:p>
        </w:tc>
        <w:tc>
          <w:tcPr>
            <w:tcW w:type="dxa" w:w="1728"/>
          </w:tcPr>
          <w:p>
            <w:r>
              <w:rPr>
                <w:i/>
                <w:color w:val="7F7F7F"/>
                <w:sz w:val="20"/>
              </w:rPr>
              <w:t>$</w:t>
            </w:r>
          </w:p>
        </w:tc>
      </w:tr>
      <w:tr>
        <w:tc>
          <w:tcPr>
            <w:tcW w:type="dxa" w:w="864"/>
          </w:tcPr>
          <w:p>
            <w:r>
              <w:rPr>
                <w:sz w:val="20"/>
              </w:rPr>
              <w:t>2001</w:t>
            </w:r>
          </w:p>
        </w:tc>
        <w:tc>
          <w:tcPr>
            <w:tcW w:type="dxa" w:w="3744"/>
          </w:tcPr>
          <w:p>
            <w:r>
              <w:rPr>
                <w:i/>
                <w:color w:val="7F7F7F"/>
                <w:sz w:val="20"/>
              </w:rPr>
              <w:t>[INSERT OPTION YEAR 2 ITEM/SERVICE DESCRIPTION]</w:t>
            </w:r>
          </w:p>
        </w:tc>
        <w:tc>
          <w:tcPr>
            <w:tcW w:type="dxa" w:w="1008"/>
          </w:tcPr>
          <w:p>
            <w:r>
              <w:rPr>
                <w:i/>
                <w:color w:val="7F7F7F"/>
                <w:sz w:val="20"/>
              </w:rPr>
              <w:t>[Qty]</w:t>
            </w:r>
          </w:p>
        </w:tc>
        <w:tc>
          <w:tcPr>
            <w:tcW w:type="dxa" w:w="1296"/>
          </w:tcPr>
          <w:p>
            <w:r>
              <w:rPr>
                <w:i/>
                <w:color w:val="7F7F7F"/>
                <w:sz w:val="20"/>
              </w:rPr>
              <w:t>[Unit]</w:t>
            </w:r>
          </w:p>
        </w:tc>
        <w:tc>
          <w:tcPr>
            <w:tcW w:type="dxa" w:w="1728"/>
          </w:tcPr>
          <w:p>
            <w:r>
              <w:rPr>
                <w:i/>
                <w:color w:val="7F7F7F"/>
                <w:sz w:val="20"/>
              </w:rPr>
              <w:t>$</w:t>
            </w:r>
          </w:p>
        </w:tc>
      </w:tr>
      <w:tr>
        <w:tc>
          <w:tcPr>
            <w:tcW w:type="dxa" w:w="864"/>
          </w:tcPr>
          <w:p>
            <w:r>
              <w:rPr>
                <w:sz w:val="20"/>
              </w:rPr>
              <w:t>3001</w:t>
            </w:r>
          </w:p>
        </w:tc>
        <w:tc>
          <w:tcPr>
            <w:tcW w:type="dxa" w:w="3744"/>
          </w:tcPr>
          <w:p>
            <w:r>
              <w:rPr>
                <w:i/>
                <w:color w:val="7F7F7F"/>
                <w:sz w:val="20"/>
              </w:rPr>
              <w:t>[INSERT OPTION YEAR 3 ITEM/SERVICE DESCRIPTION]</w:t>
            </w:r>
          </w:p>
        </w:tc>
        <w:tc>
          <w:tcPr>
            <w:tcW w:type="dxa" w:w="1008"/>
          </w:tcPr>
          <w:p>
            <w:r>
              <w:rPr>
                <w:i/>
                <w:color w:val="7F7F7F"/>
                <w:sz w:val="20"/>
              </w:rPr>
              <w:t>[Qty]</w:t>
            </w:r>
          </w:p>
        </w:tc>
        <w:tc>
          <w:tcPr>
            <w:tcW w:type="dxa" w:w="1296"/>
          </w:tcPr>
          <w:p>
            <w:r>
              <w:rPr>
                <w:i/>
                <w:color w:val="7F7F7F"/>
                <w:sz w:val="20"/>
              </w:rPr>
              <w:t>[Unit]</w:t>
            </w:r>
          </w:p>
        </w:tc>
        <w:tc>
          <w:tcPr>
            <w:tcW w:type="dxa" w:w="1728"/>
          </w:tcPr>
          <w:p>
            <w:r>
              <w:rPr>
                <w:i/>
                <w:color w:val="7F7F7F"/>
                <w:sz w:val="20"/>
              </w:rPr>
              <w:t>$</w:t>
            </w:r>
          </w:p>
        </w:tc>
      </w:tr>
    </w:tbl>
    <w:p/>
    <w:p>
      <w:pPr>
        <w:spacing w:before="280" w:after="120"/>
      </w:pPr>
      <w:r>
        <w:rPr>
          <w:rFonts w:ascii="Arial" w:hAnsi="Arial"/>
          <w:b/>
          <w:sz w:val="26"/>
        </w:rPr>
        <w:t>Section C — Description of Requirement</w:t>
      </w:r>
    </w:p>
    <w:p>
      <w:pPr>
        <w:spacing w:after="80"/>
      </w:pPr>
      <w:r>
        <w:rPr>
          <w:b/>
        </w:rPr>
        <w:t xml:space="preserve">Period of Performance: </w:t>
      </w:r>
      <w:r>
        <w:rPr>
          <w:i/>
          <w:color w:val="7F7F7F"/>
        </w:rPr>
        <w:t>[e.g., one base year and four option years; or 12 months from award]</w:t>
      </w:r>
    </w:p>
    <w:p>
      <w:pPr>
        <w:spacing w:after="80"/>
      </w:pPr>
      <w:r>
        <w:rPr>
          <w:b/>
        </w:rPr>
        <w:t xml:space="preserve">Place of Performance: </w:t>
      </w:r>
      <w:r>
        <w:rPr>
          <w:i/>
          <w:color w:val="7F7F7F"/>
        </w:rPr>
        <w:t>[e.g., 99 FSS Outdoor Recreation Center, Joint Base ___]</w:t>
      </w:r>
    </w:p>
    <w:p>
      <w:pPr>
        <w:spacing w:after="80"/>
      </w:pPr>
      <w:r>
        <w:rPr>
          <w:b/>
        </w:rPr>
        <w:t xml:space="preserve">Required Start Date: </w:t>
      </w:r>
      <w:r>
        <w:rPr>
          <w:i/>
          <w:color w:val="7F7F7F"/>
        </w:rPr>
        <w:t>[INSERT]</w:t>
      </w:r>
    </w:p>
    <w:p>
      <w:pPr>
        <w:spacing w:after="120"/>
      </w:pPr>
      <w:r>
        <w:rPr>
          <w:b/>
        </w:rPr>
        <w:t>Deliverables and acceptance.</w:t>
      </w:r>
    </w:p>
    <w:p>
      <w:pPr>
        <w:spacing w:after="120"/>
      </w:pPr>
      <w:r>
        <w:t>The detailed Statement of Work or Performance Work Statement is provided as Attachment 1. Acceptance occurs at destination. The Contracting Officer Representative will accept deliverables within one business day of delivery in accordance with DAFMAN 64-119.</w:t>
      </w:r>
    </w:p>
    <w:p>
      <w:pPr>
        <w:spacing w:before="280" w:after="120"/>
      </w:pPr>
      <w:r>
        <w:rPr>
          <w:rFonts w:ascii="Arial" w:hAnsi="Arial"/>
          <w:b/>
          <w:sz w:val="26"/>
        </w:rPr>
        <w:t>Section D — Evaluation Factors and Basis of Award</w:t>
      </w:r>
    </w:p>
    <w:p>
      <w:pPr>
        <w:spacing w:after="120"/>
      </w:pPr>
      <w:r>
        <w:t>Award will be made to the responsible quoter offering the best value to the Government, considering the factors below. The Contracting Officer reserves the right to award without discussions on the basis of the initial quotes received.</w:t>
      </w:r>
    </w:p>
    <w:p>
      <w:pPr>
        <w:spacing w:after="120"/>
      </w:pPr>
      <w:r>
        <w:rPr>
          <w:b/>
        </w:rPr>
        <w:t>Factors:</w:t>
      </w:r>
    </w:p>
    <w:p>
      <w:pPr>
        <w:pStyle w:val="ListBullet"/>
        <w:spacing w:after="60"/>
      </w:pPr>
      <w:r>
        <w:t>Price. The Government will determine price reasonableness in accordance with DAFMAN 64-119. Documented price reasonableness is required for awards above $10,000.</w:t>
      </w:r>
    </w:p>
    <w:p>
      <w:pPr>
        <w:pStyle w:val="ListBullet"/>
        <w:spacing w:after="60"/>
      </w:pPr>
      <w:r>
        <w:t>Past Performance. The Government may consider the quoter's recent and relevant performance on similar work, including reference checks. Quoters with no relevant past performance may not be evaluated favorably or unfavorably on this factor.</w:t>
      </w:r>
    </w:p>
    <w:p>
      <w:pPr>
        <w:pStyle w:val="ListBullet"/>
        <w:spacing w:after="60"/>
      </w:pPr>
      <w:r>
        <w:t>[Optional: Technical Capability or Approach. Briefly describe quoter's approach to meeting the requirement. Delete this factor if not used.]</w:t>
      </w:r>
    </w:p>
    <w:p>
      <w:pPr>
        <w:spacing w:after="120"/>
      </w:pPr>
      <w:r>
        <w:rPr>
          <w:b/>
        </w:rPr>
        <w:t>Basis of award:</w:t>
      </w:r>
    </w:p>
    <w:p>
      <w:pPr>
        <w:pStyle w:val="ListBullet"/>
        <w:spacing w:after="60"/>
      </w:pPr>
      <w:r>
        <w:t>Lowest reasonable price (default for straightforward requirements).</w:t>
      </w:r>
    </w:p>
    <w:p>
      <w:pPr>
        <w:pStyle w:val="ListBullet"/>
        <w:spacing w:after="60"/>
      </w:pPr>
      <w:r>
        <w:t>Best value tradeoff between price and past performance, with a brief written tradeoff determination filed by the NAF Contracting Officer (use when past performance materially affects risk).</w:t>
      </w:r>
    </w:p>
    <w:p>
      <w:pPr>
        <w:spacing w:before="280" w:after="120"/>
      </w:pPr>
      <w:r>
        <w:rPr>
          <w:rFonts w:ascii="Arial" w:hAnsi="Arial"/>
          <w:b/>
          <w:sz w:val="26"/>
        </w:rPr>
        <w:t>Section E — Instructions to Quoters</w:t>
      </w:r>
    </w:p>
    <w:p>
      <w:pPr>
        <w:spacing w:after="120"/>
      </w:pPr>
      <w:r>
        <w:rPr>
          <w:b/>
        </w:rPr>
        <w:t>Submission requirements.</w:t>
      </w:r>
    </w:p>
    <w:p>
      <w:pPr>
        <w:pStyle w:val="ListBullet"/>
        <w:spacing w:after="60"/>
      </w:pPr>
      <w:r>
        <w:t>Format: PDF or Microsoft Word. Pricing schedule may be a workbook or PDF.</w:t>
      </w:r>
    </w:p>
    <w:p>
      <w:pPr>
        <w:pStyle w:val="ListBullet"/>
        <w:spacing w:after="60"/>
      </w:pPr>
      <w:r>
        <w:t>Page limit: not to exceed [INSERT, e.g., 10 pages] for the technical or capability narrative; the pricing schedule does not count against the page limit.</w:t>
      </w:r>
    </w:p>
    <w:p>
      <w:pPr>
        <w:pStyle w:val="ListBullet"/>
        <w:spacing w:after="60"/>
      </w:pPr>
      <w:r>
        <w:t>Method of submission: email to the NAF Contracting Officer at the address on the cover sheet.</w:t>
      </w:r>
    </w:p>
    <w:p>
      <w:pPr>
        <w:pStyle w:val="ListBullet"/>
        <w:spacing w:after="60"/>
      </w:pPr>
      <w:r>
        <w:t>Quotes must be valid for at least 30 calendar days from the closing date.</w:t>
      </w:r>
    </w:p>
    <w:p>
      <w:pPr>
        <w:spacing w:after="120"/>
      </w:pPr>
      <w:r>
        <w:rPr>
          <w:b/>
        </w:rPr>
        <w:t>Submission deadline.</w:t>
      </w:r>
    </w:p>
    <w:p>
      <w:pPr>
        <w:spacing w:after="120"/>
      </w:pPr>
      <w:r>
        <w:t>Quotes are due no later than the date and time on the cover sheet. Late quotes may not be considered. The Government is not obligated to extend the deadline absent a written amendment.</w:t>
      </w:r>
    </w:p>
    <w:p>
      <w:pPr>
        <w:spacing w:after="120"/>
      </w:pPr>
      <w:r>
        <w:rPr>
          <w:b/>
        </w:rPr>
        <w:t>Required content.</w:t>
      </w:r>
    </w:p>
    <w:p>
      <w:pPr>
        <w:pStyle w:val="ListBullet"/>
        <w:spacing w:after="60"/>
      </w:pPr>
      <w:r>
        <w:t>Cover letter identifying the solicitation, the quoter, the point of contact, and the period of validity of the quote.</w:t>
      </w:r>
    </w:p>
    <w:p>
      <w:pPr>
        <w:pStyle w:val="ListBullet"/>
        <w:spacing w:after="60"/>
      </w:pPr>
      <w:r>
        <w:t>Completed pricing schedule (Section B).</w:t>
      </w:r>
    </w:p>
    <w:p>
      <w:pPr>
        <w:pStyle w:val="ListBullet"/>
        <w:spacing w:after="60"/>
      </w:pPr>
      <w:r>
        <w:t>Past performance information for [INSERT, e.g., up to three] recent and relevant projects, including customer name, contract number, dollar value, period of performance, and a brief description.</w:t>
      </w:r>
    </w:p>
    <w:p>
      <w:pPr>
        <w:pStyle w:val="ListBullet"/>
        <w:spacing w:after="60"/>
      </w:pPr>
      <w:r>
        <w:t>Required representations and certifications (Section G).</w:t>
      </w:r>
    </w:p>
    <w:p>
      <w:pPr>
        <w:pStyle w:val="ListBullet"/>
        <w:spacing w:after="60"/>
      </w:pPr>
      <w:r>
        <w:t>[Optional: Technical capability narrative or approach, if Technical Capability is an evaluation factor.]</w:t>
      </w:r>
    </w:p>
    <w:p>
      <w:pPr>
        <w:spacing w:before="280" w:after="120"/>
      </w:pPr>
      <w:r>
        <w:rPr>
          <w:rFonts w:ascii="Arial" w:hAnsi="Arial"/>
          <w:b/>
          <w:sz w:val="26"/>
        </w:rPr>
        <w:t>Section F — Terms and Conditions</w:t>
      </w:r>
    </w:p>
    <w:p>
      <w:pPr>
        <w:spacing w:after="120"/>
      </w:pPr>
      <w:r>
        <w:t>The contract resulting from this solicitation incorporates the following by reference. Full text is published by AFNAFPO at afnafpo.afsv.net.</w:t>
      </w:r>
    </w:p>
    <w:p>
      <w:pPr>
        <w:spacing w:after="120"/>
      </w:pPr>
      <w:r>
        <w:rPr>
          <w:b/>
        </w:rPr>
        <w:t>Standard Clauses (incorporated in full):</w:t>
      </w:r>
    </w:p>
    <w:p>
      <w:pPr>
        <w:pStyle w:val="ListBullet"/>
        <w:spacing w:after="60"/>
      </w:pPr>
      <w:r>
        <w:t>AFNAFPO Nonappropriated Fund Standard Clauses (current edition). The 35-paragraph standard agreement body covering definitions, legal status, claims and protests, examination of records, hold and save harmless, insurance, procurement integrity, termination, changes, inspection and acceptance, payment terms, and related matters.</w:t>
      </w:r>
    </w:p>
    <w:p>
      <w:pPr>
        <w:spacing w:after="120"/>
      </w:pPr>
      <w:r>
        <w:rPr>
          <w:b/>
        </w:rPr>
        <w:t>Standard Clauses Incorporated by Reference (NFC- series, applicable subset):</w:t>
      </w:r>
    </w:p>
    <w:p>
      <w:pPr>
        <w:pStyle w:val="ListBullet"/>
        <w:spacing w:after="60"/>
      </w:pPr>
      <w:r>
        <w:t>NFC-204-25 Representation Regarding Certain Telecommunications and Video Surveillance Services or Equipment (Section 889).</w:t>
      </w:r>
    </w:p>
    <w:p>
      <w:pPr>
        <w:pStyle w:val="ListBullet"/>
        <w:spacing w:after="60"/>
      </w:pPr>
      <w:r>
        <w:t>NFC-222-41 Service Contract Labor Standards (when SCLS applies).</w:t>
      </w:r>
    </w:p>
    <w:p>
      <w:pPr>
        <w:pStyle w:val="ListBullet"/>
        <w:spacing w:after="60"/>
      </w:pPr>
      <w:r>
        <w:t>NFC-228-3 Defense Base Act Workers' Compensation (when overseas performance is contemplated).</w:t>
      </w:r>
    </w:p>
    <w:p>
      <w:pPr>
        <w:pStyle w:val="ListBullet"/>
        <w:spacing w:after="60"/>
      </w:pPr>
      <w:r>
        <w:t>NFC-243-1 Changes — Fixed-Price.</w:t>
      </w:r>
    </w:p>
    <w:p>
      <w:pPr>
        <w:pStyle w:val="ListBullet"/>
        <w:spacing w:after="60"/>
      </w:pPr>
      <w:r>
        <w:t>[Add other applicable NFC- clauses based on the requirement; delete entries that do not apply.]</w:t>
      </w:r>
    </w:p>
    <w:p>
      <w:pPr>
        <w:spacing w:after="120"/>
      </w:pPr>
      <w:r>
        <w:rPr>
          <w:b/>
        </w:rPr>
        <w:t>Period of acceptance.</w:t>
      </w:r>
    </w:p>
    <w:p>
      <w:pPr>
        <w:spacing w:after="120"/>
      </w:pPr>
      <w:r>
        <w:t>Quotes shall remain valid for at least 30 calendar days from the closing date unless a longer period is stated in the quoter's cover letter.</w:t>
      </w:r>
    </w:p>
    <w:p>
      <w:pPr>
        <w:spacing w:after="120"/>
      </w:pPr>
      <w:r>
        <w:rPr>
          <w:b/>
        </w:rPr>
        <w:t>Order of precedence.</w:t>
      </w:r>
    </w:p>
    <w:p>
      <w:pPr>
        <w:spacing w:after="120"/>
      </w:pPr>
      <w:r>
        <w:t>In the event of a conflict, the order of precedence shall be: (1) the Standard Clauses, (2) the body of this solicitation, (3) the Statement of Work or Performance Work Statement, (4) the pricing schedule, and (5) the quoter's cover letter.</w:t>
      </w:r>
    </w:p>
    <w:p>
      <w:pPr>
        <w:spacing w:before="280" w:after="120"/>
      </w:pPr>
      <w:r>
        <w:rPr>
          <w:rFonts w:ascii="Arial" w:hAnsi="Arial"/>
          <w:b/>
          <w:sz w:val="26"/>
        </w:rPr>
        <w:t>Section G — Required Representations and Certifications</w:t>
      </w:r>
    </w:p>
    <w:p>
      <w:pPr>
        <w:spacing w:after="120"/>
      </w:pPr>
      <w:r>
        <w:t>Quoters shall provide the following representations with their quote. The Contracting Officer may verify any representation as part of the responsibility determination.</w:t>
      </w:r>
    </w:p>
    <w:p>
      <w:pPr>
        <w:pStyle w:val="ListBullet"/>
        <w:spacing w:after="60"/>
      </w:pPr>
      <w:r>
        <w:t>Section 889 (Covered Telecommunications). Quoter represents that it [does / does not] provide covered telecommunications equipment or services as a part of its offered products or services to the Government in the performance of any contract, and [does / does not] use covered telecommunications equipment or services in its operations.</w:t>
      </w:r>
    </w:p>
    <w:p>
      <w:pPr>
        <w:pStyle w:val="ListBullet"/>
        <w:spacing w:after="60"/>
      </w:pPr>
      <w:r>
        <w:t>Procurement Integrity. Quoter certifies that it has not engaged in conduct prohibited by the Procurement Integrity Act with respect to this acquisition.</w:t>
      </w:r>
    </w:p>
    <w:p>
      <w:pPr>
        <w:pStyle w:val="ListBullet"/>
        <w:spacing w:after="60"/>
      </w:pPr>
      <w:r>
        <w:t>Anti-Trafficking. Quoter certifies it complies with anti-trafficking-in-persons requirements.</w:t>
      </w:r>
    </w:p>
    <w:p>
      <w:pPr>
        <w:pStyle w:val="ListBullet"/>
        <w:spacing w:after="60"/>
      </w:pPr>
      <w:r>
        <w:t>Debarment / Suspension. Quoter represents that it is not currently debarred, suspended, or proposed for debarment from federal contracting.</w:t>
      </w:r>
    </w:p>
    <w:p>
      <w:pPr>
        <w:pStyle w:val="ListBullet"/>
        <w:spacing w:after="60"/>
      </w:pPr>
      <w:r>
        <w:t>[Add any additional reps required by the requirement, e.g., Buy American certification, Defense Base Act coverage representation, or PFOS/PFOA prohibition representation; delete entries that do not apply.]</w:t>
      </w:r>
    </w:p>
    <w:p>
      <w:pPr>
        <w:spacing w:before="280" w:after="120"/>
      </w:pPr>
      <w:r>
        <w:rPr>
          <w:rFonts w:ascii="Arial" w:hAnsi="Arial"/>
          <w:b/>
          <w:sz w:val="26"/>
        </w:rPr>
        <w:t>Section H — Attachments</w:t>
      </w:r>
    </w:p>
    <w:p>
      <w:pPr>
        <w:pStyle w:val="ListBullet"/>
        <w:spacing w:after="60"/>
      </w:pPr>
      <w:r>
        <w:t>Attachment 1 — Statement of Work or Performance Work Statement</w:t>
      </w:r>
    </w:p>
    <w:p>
      <w:pPr>
        <w:pStyle w:val="ListBullet"/>
        <w:spacing w:after="60"/>
      </w:pPr>
      <w:r>
        <w:t>Attachment 2 — Wage Determination (if Service Contract Labor Standards applies)</w:t>
      </w:r>
    </w:p>
    <w:p>
      <w:pPr>
        <w:pStyle w:val="ListBullet"/>
        <w:spacing w:after="60"/>
      </w:pPr>
      <w:r>
        <w:t>Attachment 3 — Pricing Schedule (if separate from Section B)</w:t>
      </w:r>
    </w:p>
    <w:p>
      <w:pPr>
        <w:pStyle w:val="ListBullet"/>
        <w:spacing w:after="60"/>
      </w:pPr>
      <w:r>
        <w:t>Attachment 4 — Past Performance Information Sheet (optional)</w:t>
      </w:r>
    </w:p>
    <w:p>
      <w:pPr>
        <w:pStyle w:val="ListBullet"/>
        <w:spacing w:after="60"/>
      </w:pPr>
      <w:r>
        <w:t>[Add or remove attachments as needed.]</w:t>
      </w:r>
    </w:p>
    <w:p/>
    <w:p>
      <w:pPr>
        <w:spacing w:before="280" w:after="120"/>
      </w:pPr>
      <w:r>
        <w:rPr>
          <w:rFonts w:ascii="Arial" w:hAnsi="Arial"/>
          <w:b/>
          <w:sz w:val="26"/>
        </w:rPr>
        <w:t>Issuing Contracting Officer</w:t>
      </w:r>
    </w:p>
    <w:tbl>
      <w:tblPr>
        <w:tblW w:type="auto" w:w="0"/>
        <w:tblLayout w:type="fixed"/>
        <w:tblLook w:firstColumn="1" w:firstRow="1" w:lastColumn="0" w:lastRow="0" w:noHBand="0" w:noVBand="1" w:val="04A0"/>
      </w:tblPr>
      <w:tblGrid>
        <w:gridCol w:w="4680"/>
        <w:gridCol w:w="4680"/>
      </w:tblGrid>
      <w:tr>
        <w:tc>
          <w:tcPr>
            <w:tcW w:type="dxa" w:w="2880"/>
            <w:shd w:val="clear" w:color="auto" w:fill="F2F2F2"/>
          </w:tcPr>
          <w:p>
            <w:r>
              <w:rPr>
                <w:b/>
                <w:sz w:val="20"/>
              </w:rPr>
              <w:t>Name</w:t>
            </w:r>
          </w:p>
        </w:tc>
        <w:tc>
          <w:tcPr>
            <w:tcW w:type="dxa" w:w="6480"/>
          </w:tcPr>
          <w:p>
            <w:r>
              <w:rPr>
                <w:i/>
                <w:color w:val="7F7F7F"/>
                <w:sz w:val="20"/>
              </w:rPr>
              <w:t>[INSERT]</w:t>
            </w:r>
          </w:p>
        </w:tc>
      </w:tr>
      <w:tr>
        <w:tc>
          <w:tcPr>
            <w:tcW w:type="dxa" w:w="2880"/>
            <w:shd w:val="clear" w:color="auto" w:fill="F2F2F2"/>
          </w:tcPr>
          <w:p>
            <w:r>
              <w:rPr>
                <w:b/>
                <w:sz w:val="20"/>
              </w:rPr>
              <w:t>Title</w:t>
            </w:r>
          </w:p>
        </w:tc>
        <w:tc>
          <w:tcPr>
            <w:tcW w:type="dxa" w:w="6480"/>
          </w:tcPr>
          <w:p>
            <w:r>
              <w:rPr>
                <w:i/>
                <w:color w:val="7F7F7F"/>
                <w:sz w:val="20"/>
              </w:rPr>
              <w:t>NAF Contracting Officer</w:t>
            </w:r>
          </w:p>
        </w:tc>
      </w:tr>
      <w:tr>
        <w:tc>
          <w:tcPr>
            <w:tcW w:type="dxa" w:w="2880"/>
            <w:shd w:val="clear" w:color="auto" w:fill="F2F2F2"/>
          </w:tcPr>
          <w:p>
            <w:r>
              <w:rPr>
                <w:b/>
                <w:sz w:val="20"/>
              </w:rPr>
              <w:t>Phone / Email</w:t>
            </w:r>
          </w:p>
        </w:tc>
        <w:tc>
          <w:tcPr>
            <w:tcW w:type="dxa" w:w="6480"/>
          </w:tcPr>
          <w:p>
            <w:r>
              <w:rPr>
                <w:i/>
                <w:color w:val="7F7F7F"/>
                <w:sz w:val="20"/>
              </w:rPr>
              <w:t>[INSERT]</w:t>
            </w:r>
          </w:p>
        </w:tc>
      </w:tr>
      <w:tr>
        <w:tc>
          <w:tcPr>
            <w:tcW w:type="dxa" w:w="2880"/>
            <w:shd w:val="clear" w:color="auto" w:fill="F2F2F2"/>
          </w:tcPr>
          <w:p>
            <w:r>
              <w:rPr>
                <w:b/>
                <w:sz w:val="20"/>
              </w:rPr>
              <w:t>Signature / Date</w:t>
            </w:r>
          </w:p>
        </w:tc>
        <w:tc>
          <w:tcPr>
            <w:tcW w:type="dxa" w:w="6480"/>
          </w:tcPr>
          <w:p>
            <w:r>
              <w:rPr>
                <w:i/>
                <w:color w:val="7F7F7F"/>
                <w:sz w:val="20"/>
              </w:rPr>
              <w:t>[Sign and date upon issue]</w:t>
            </w:r>
          </w:p>
        </w:tc>
      </w:tr>
    </w:tbl>
    <w:p/>
    <w:p>
      <w:pPr>
        <w:jc w:val="center"/>
      </w:pPr>
      <w:r>
        <w:rPr>
          <w:i/>
          <w:color w:val="7F7F7F"/>
          <w:sz w:val="16"/>
        </w:rPr>
        <w:t>Template developed for ContractingHQ (KTHQ.org) Nonappropriated Funds (NAF) Contracting training. Always verify current standard clauses, threshold values, and procedural requirements against AFNAFPO (afnafpo.afsv.net) and DAFMAN 64-119 before issuing a solicitation.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