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22"/>
        </w:rPr>
        <w:t>Attachment 2</w:t>
      </w:r>
    </w:p>
    <w:p>
      <w:pPr>
        <w:jc w:val="center"/>
      </w:pPr>
      <w:r>
        <w:rPr>
          <w:rFonts w:ascii="Arial" w:hAnsi="Arial"/>
          <w:b/>
          <w:sz w:val="32"/>
        </w:rPr>
        <w:t>Salient Characteristics and Specifications</w:t>
      </w:r>
    </w:p>
    <w:p>
      <w:pPr>
        <w:spacing w:after="280"/>
        <w:jc w:val="center"/>
      </w:pPr>
      <w:r>
        <w:rPr>
          <w:rFonts w:ascii="Arial" w:hAnsi="Arial"/>
          <w:i/>
          <w:sz w:val="22"/>
        </w:rPr>
        <w:t>GSA eBuy Request for Quote (RFQ) under GSAM Subpart 538.71</w:t>
      </w:r>
    </w:p>
    <w:p>
      <w:pPr>
        <w:spacing w:after="240"/>
      </w:pPr>
      <w:r>
        <w:rPr>
          <w:i/>
          <w:color w:val="7F7F7F"/>
          <w:sz w:val="18"/>
        </w:rPr>
        <w:t>EDITOR NOTE. This template defines what each line item must do or contain to be technically acceptable. Quoters compete on price among offerings that meet these characteristics. Replace every [BRACKETED] field. Adjust each CLIN's spec block to match your real requirement. Items that materially miss any salient characteristic should be rated technically unacceptable per Attachment 1, Section 2.2. The sample scenario at the bottom of Attachment 1 (squadron conference and break room furniture refresh) is the example used throughout.</w:t>
      </w:r>
    </w:p>
    <w:p>
      <w:pPr>
        <w:spacing w:before="280" w:after="120"/>
      </w:pPr>
      <w:r>
        <w:rPr>
          <w:rFonts w:ascii="Arial" w:hAnsi="Arial"/>
          <w:b/>
          <w:sz w:val="26"/>
        </w:rPr>
        <w:t>1.0  General Specifications (apply to all CLINs)</w:t>
      </w:r>
    </w:p>
    <w:p>
      <w:pPr>
        <w:spacing w:before="160" w:after="80"/>
      </w:pPr>
      <w:r>
        <w:rPr>
          <w:rFonts w:ascii="Arial" w:hAnsi="Arial"/>
          <w:b/>
          <w:sz w:val="22"/>
        </w:rPr>
        <w:t>1.1  Compliance</w:t>
      </w:r>
    </w:p>
    <w:p>
      <w:pPr>
        <w:pStyle w:val="ListBullet"/>
        <w:spacing w:after="60"/>
      </w:pPr>
      <w:r>
        <w:t>All seating shall meet or exceed ANSI/BIFMA X5.1 (general purpose office chairs) or X5.4 (lounge seating) as applicable to the line item.</w:t>
      </w:r>
    </w:p>
    <w:p>
      <w:pPr>
        <w:pStyle w:val="ListBullet"/>
        <w:spacing w:after="60"/>
      </w:pPr>
      <w:r>
        <w:t>All tables and casegoods shall meet or exceed ANSI/BIFMA X5.5 or X5.9 as applicable.</w:t>
      </w:r>
    </w:p>
    <w:p>
      <w:pPr>
        <w:pStyle w:val="ListBullet"/>
        <w:spacing w:after="60"/>
      </w:pPr>
      <w:r>
        <w:t>All upholstery and finishes shall meet California Technical Bulletin (TB) 117-2013 flammability requirements at minimum.</w:t>
      </w:r>
    </w:p>
    <w:p>
      <w:pPr>
        <w:pStyle w:val="ListBullet"/>
        <w:spacing w:after="60"/>
      </w:pPr>
      <w:r>
        <w:t>Items shall be GREENGUARD Gold or equivalent low-emissions certified, OR shall meet ANSI/BIFMA e3 Level 1 or higher. The Government will accept either certification family.</w:t>
      </w:r>
    </w:p>
    <w:p>
      <w:pPr>
        <w:pStyle w:val="ListBullet"/>
        <w:spacing w:after="60"/>
      </w:pPr>
      <w:r>
        <w:t>Country of origin and Trade Agreements Act (TAA) compliance shall be identified for each item. Non-TAA-compliant items shall not be quoted.</w:t>
      </w:r>
    </w:p>
    <w:p>
      <w:pPr>
        <w:spacing w:before="160" w:after="80"/>
      </w:pPr>
      <w:r>
        <w:rPr>
          <w:rFonts w:ascii="Arial" w:hAnsi="Arial"/>
          <w:b/>
          <w:sz w:val="22"/>
        </w:rPr>
        <w:t>1.2  PFOS / PFOA Prohibition</w:t>
      </w:r>
    </w:p>
    <w:p>
      <w:pPr>
        <w:spacing w:after="120"/>
      </w:pPr>
      <w:r>
        <w:t>Per the DoD class deviation prohibiting procurement of items containing perfluorooctane sulfonate (PFOS) or perfluorooctanoic acid (PFOA), no quoted item may use stain-treatment, water-repellent, or coating chemistries that contain PFOS or PFOA. Quoters shall affirm compliance for upholstered items and any treated finishes.</w:t>
      </w:r>
    </w:p>
    <w:p>
      <w:pPr>
        <w:spacing w:before="160" w:after="80"/>
      </w:pPr>
      <w:r>
        <w:rPr>
          <w:rFonts w:ascii="Arial" w:hAnsi="Arial"/>
          <w:b/>
          <w:sz w:val="22"/>
        </w:rPr>
        <w:t>1.3  Warranty</w:t>
      </w:r>
    </w:p>
    <w:p>
      <w:pPr>
        <w:pStyle w:val="ListBullet"/>
        <w:spacing w:after="60"/>
      </w:pPr>
      <w:r>
        <w:t>Minimum manufacturer's warranty: [INSERT, e.g., five (5) years on structure and frame; three (3) years on mechanisms; one (1) year on upholstery and finishes].</w:t>
      </w:r>
    </w:p>
    <w:p>
      <w:pPr>
        <w:pStyle w:val="ListBullet"/>
        <w:spacing w:after="60"/>
      </w:pPr>
      <w:r>
        <w:t>Warranty start: date of Government acceptance.</w:t>
      </w:r>
    </w:p>
    <w:p>
      <w:pPr>
        <w:pStyle w:val="ListBullet"/>
        <w:spacing w:after="60"/>
      </w:pPr>
      <w:r>
        <w:t>Warranty service: contractor-arranged service or replacement at no additional cost during the warranty period.</w:t>
      </w:r>
    </w:p>
    <w:p>
      <w:pPr>
        <w:spacing w:before="160" w:after="80"/>
      </w:pPr>
      <w:r>
        <w:rPr>
          <w:rFonts w:ascii="Arial" w:hAnsi="Arial"/>
          <w:b/>
          <w:sz w:val="22"/>
        </w:rPr>
        <w:t>1.4  Delivery</w:t>
      </w:r>
    </w:p>
    <w:p>
      <w:pPr>
        <w:pStyle w:val="ListBullet"/>
        <w:spacing w:after="60"/>
      </w:pPr>
      <w:r>
        <w:t>Inside delivery to the place of performance identified in the eBuy RFQ.</w:t>
      </w:r>
    </w:p>
    <w:p>
      <w:pPr>
        <w:pStyle w:val="ListBullet"/>
        <w:spacing w:after="60"/>
      </w:pPr>
      <w:r>
        <w:t>Delivery hours: standard business hours unless otherwise coordinated with the Contracting Officer's Representative (COR).</w:t>
      </w:r>
    </w:p>
    <w:p>
      <w:pPr>
        <w:pStyle w:val="ListBullet"/>
        <w:spacing w:after="60"/>
      </w:pPr>
      <w:r>
        <w:t>Packaging: removed and recycled or disposed by contractor.</w:t>
      </w:r>
    </w:p>
    <w:p>
      <w:pPr>
        <w:pStyle w:val="ListBullet"/>
        <w:spacing w:after="60"/>
      </w:pPr>
      <w:r>
        <w:t>Damaged-on-arrival items: contractor is responsible for replacement at no additional cost; replacement shall arrive within [INSERT, e.g., fifteen (15)] calendar days.</w:t>
      </w:r>
    </w:p>
    <w:p>
      <w:pPr>
        <w:spacing w:before="160" w:after="80"/>
      </w:pPr>
      <w:r>
        <w:rPr>
          <w:rFonts w:ascii="Arial" w:hAnsi="Arial"/>
          <w:b/>
          <w:sz w:val="22"/>
        </w:rPr>
        <w:t>1.5  Installation (if Ancillary SIN is enabled)</w:t>
      </w:r>
    </w:p>
    <w:p>
      <w:pPr>
        <w:pStyle w:val="ListBullet"/>
        <w:spacing w:after="60"/>
      </w:pPr>
      <w:r>
        <w:t>Installation by manufacturer-authorized installer or contractor's qualified personnel.</w:t>
      </w:r>
    </w:p>
    <w:p>
      <w:pPr>
        <w:pStyle w:val="ListBullet"/>
        <w:spacing w:after="60"/>
      </w:pPr>
      <w:r>
        <w:t>In-place protection of finished surfaces (floors, walls, doorways) during delivery and installation.</w:t>
      </w:r>
    </w:p>
    <w:p>
      <w:pPr>
        <w:pStyle w:val="ListBullet"/>
        <w:spacing w:after="60"/>
      </w:pPr>
      <w:r>
        <w:t>Cleanup and final walk-through with the COR.</w:t>
      </w:r>
    </w:p>
    <w:p>
      <w:pPr>
        <w:pStyle w:val="ListBullet"/>
        <w:spacing w:after="60"/>
      </w:pPr>
      <w:r>
        <w:t>All hardware, fasteners, and assembly tools provided by contractor.</w:t>
      </w:r>
    </w:p>
    <w:p>
      <w:pPr>
        <w:spacing w:before="280" w:after="120"/>
      </w:pPr>
      <w:r>
        <w:rPr>
          <w:rFonts w:ascii="Arial" w:hAnsi="Arial"/>
          <w:b/>
          <w:sz w:val="26"/>
        </w:rPr>
        <w:t>2.0  Per-CLIN Salient Characteristics</w:t>
      </w:r>
    </w:p>
    <w:p>
      <w:pPr>
        <w:spacing w:before="160" w:after="80"/>
      </w:pPr>
      <w:r>
        <w:rPr>
          <w:rFonts w:ascii="Arial" w:hAnsi="Arial"/>
          <w:b/>
          <w:sz w:val="22"/>
        </w:rPr>
        <w:t>CLIN 0001 — Conference Table, 12-foot Oval, Wood-Veneer Top</w:t>
      </w:r>
    </w:p>
    <w:p>
      <w:pPr>
        <w:spacing w:after="120"/>
      </w:pPr>
      <w:r>
        <w:t>Quantity: 1 each</w:t>
      </w:r>
    </w:p>
    <w:p>
      <w:pPr>
        <w:pStyle w:val="ListBullet"/>
        <w:spacing w:after="60"/>
      </w:pPr>
      <w:r>
        <w:t>Length: 144 inches (12 feet) ± 2 inches; Width: 48 inches ± 2 inches; Height: 29 to 30 inches.</w:t>
      </w:r>
    </w:p>
    <w:p>
      <w:pPr>
        <w:pStyle w:val="ListBullet"/>
        <w:spacing w:after="60"/>
      </w:pPr>
      <w:r>
        <w:t>Top: wood veneer (cherry, walnut, or maple as approved by COR after sample review); commercial-grade catalyzed finish.</w:t>
      </w:r>
    </w:p>
    <w:p>
      <w:pPr>
        <w:pStyle w:val="ListBullet"/>
        <w:spacing w:after="60"/>
      </w:pPr>
      <w:r>
        <w:t>Base: metal or wood pedestal supports rated for the table size.</w:t>
      </w:r>
    </w:p>
    <w:p>
      <w:pPr>
        <w:pStyle w:val="ListBullet"/>
        <w:spacing w:after="60"/>
      </w:pPr>
      <w:r>
        <w:t>Edge profile: knife-edge or chamfer (no sharp corners).</w:t>
      </w:r>
    </w:p>
    <w:p>
      <w:pPr>
        <w:pStyle w:val="ListBullet"/>
        <w:spacing w:after="60"/>
      </w:pPr>
      <w:r>
        <w:t>Cable management: integrated grommet x 2 minimum, with optional power/data module compatibility.</w:t>
      </w:r>
    </w:p>
    <w:p>
      <w:pPr>
        <w:pStyle w:val="ListBullet"/>
        <w:spacing w:after="60"/>
      </w:pPr>
      <w:r>
        <w:t>Weight capacity: minimum 250 lbs distributed.</w:t>
      </w:r>
    </w:p>
    <w:p>
      <w:pPr>
        <w:spacing w:before="160" w:after="80"/>
      </w:pPr>
      <w:r>
        <w:rPr>
          <w:rFonts w:ascii="Arial" w:hAnsi="Arial"/>
          <w:b/>
          <w:sz w:val="22"/>
        </w:rPr>
        <w:t>CLIN 0002 — Conference Chair, Mid-Back, Swivel, Casters</w:t>
      </w:r>
    </w:p>
    <w:p>
      <w:pPr>
        <w:spacing w:after="120"/>
      </w:pPr>
      <w:r>
        <w:t>Quantity: 12 each</w:t>
      </w:r>
    </w:p>
    <w:p>
      <w:pPr>
        <w:pStyle w:val="ListBullet"/>
        <w:spacing w:after="60"/>
      </w:pPr>
      <w:r>
        <w:t>Frame: commercial-grade steel or aluminum; powder-coated finish.</w:t>
      </w:r>
    </w:p>
    <w:p>
      <w:pPr>
        <w:pStyle w:val="ListBullet"/>
        <w:spacing w:after="60"/>
      </w:pPr>
      <w:r>
        <w:t>Back: mid-back; minimum 18-inch height from seat.</w:t>
      </w:r>
    </w:p>
    <w:p>
      <w:pPr>
        <w:pStyle w:val="ListBullet"/>
        <w:spacing w:after="60"/>
      </w:pPr>
      <w:r>
        <w:t>Mechanism: synchro-tilt or knee-tilt with tension control and seat-height adjustment (gas lift).</w:t>
      </w:r>
    </w:p>
    <w:p>
      <w:pPr>
        <w:pStyle w:val="ListBullet"/>
        <w:spacing w:after="60"/>
      </w:pPr>
      <w:r>
        <w:t>Arms: height-adjustable preferred; fixed loop arms acceptable.</w:t>
      </w:r>
    </w:p>
    <w:p>
      <w:pPr>
        <w:pStyle w:val="ListBullet"/>
        <w:spacing w:after="60"/>
      </w:pPr>
      <w:r>
        <w:t>Casters: 60mm dual-wheel; carpet casters by default unless place of performance is hard-floor.</w:t>
      </w:r>
    </w:p>
    <w:p>
      <w:pPr>
        <w:pStyle w:val="ListBullet"/>
        <w:spacing w:after="60"/>
      </w:pPr>
      <w:r>
        <w:t>Upholstery: commercial-grade fabric, minimum 100,000 double-rub Wyzenbeek rating.</w:t>
      </w:r>
    </w:p>
    <w:p>
      <w:pPr>
        <w:pStyle w:val="ListBullet"/>
        <w:spacing w:after="60"/>
      </w:pPr>
      <w:r>
        <w:t>Color: [INSERT, e.g., neutral gray or charcoal; or as specified at site visit].</w:t>
      </w:r>
    </w:p>
    <w:p>
      <w:pPr>
        <w:pStyle w:val="ListBullet"/>
        <w:spacing w:after="60"/>
      </w:pPr>
      <w:r>
        <w:t>Weight capacity: minimum 250 lbs.</w:t>
      </w:r>
    </w:p>
    <w:p>
      <w:pPr>
        <w:pStyle w:val="ListBullet"/>
        <w:spacing w:after="60"/>
      </w:pPr>
      <w:r>
        <w:t>ANSI/BIFMA X5.1 certification required.</w:t>
      </w:r>
    </w:p>
    <w:p>
      <w:pPr>
        <w:spacing w:before="160" w:after="80"/>
      </w:pPr>
      <w:r>
        <w:rPr>
          <w:rFonts w:ascii="Arial" w:hAnsi="Arial"/>
          <w:b/>
          <w:sz w:val="22"/>
        </w:rPr>
        <w:t>CLIN 0003 — Lounge Chair, Commercial-Grade</w:t>
      </w:r>
    </w:p>
    <w:p>
      <w:pPr>
        <w:spacing w:after="120"/>
      </w:pPr>
      <w:r>
        <w:t>Quantity: 4 each</w:t>
      </w:r>
    </w:p>
    <w:p>
      <w:pPr>
        <w:pStyle w:val="ListBullet"/>
        <w:spacing w:after="60"/>
      </w:pPr>
      <w:r>
        <w:t>Style: club or armchair appropriate for a break-room or reception setting.</w:t>
      </w:r>
    </w:p>
    <w:p>
      <w:pPr>
        <w:pStyle w:val="ListBullet"/>
        <w:spacing w:after="60"/>
      </w:pPr>
      <w:r>
        <w:t>Frame: commercial-grade hardwood or steel; reinforced joints.</w:t>
      </w:r>
    </w:p>
    <w:p>
      <w:pPr>
        <w:pStyle w:val="ListBullet"/>
        <w:spacing w:after="60"/>
      </w:pPr>
      <w:r>
        <w:t>Cushion: removable seat cushion at minimum; high-density foam, minimum 1.8 lb density.</w:t>
      </w:r>
    </w:p>
    <w:p>
      <w:pPr>
        <w:pStyle w:val="ListBullet"/>
        <w:spacing w:after="60"/>
      </w:pPr>
      <w:r>
        <w:t>Upholstery: commercial-grade fabric or vinyl, minimum 50,000 double-rub Wyzenbeek (fabric) or 200,000 double-rub (vinyl).</w:t>
      </w:r>
    </w:p>
    <w:p>
      <w:pPr>
        <w:pStyle w:val="ListBullet"/>
        <w:spacing w:after="60"/>
      </w:pPr>
      <w:r>
        <w:t>Color: [INSERT].</w:t>
      </w:r>
    </w:p>
    <w:p>
      <w:pPr>
        <w:pStyle w:val="ListBullet"/>
        <w:spacing w:after="60"/>
      </w:pPr>
      <w:r>
        <w:t>Weight capacity: minimum 300 lbs.</w:t>
      </w:r>
    </w:p>
    <w:p>
      <w:pPr>
        <w:pStyle w:val="ListBullet"/>
        <w:spacing w:after="60"/>
      </w:pPr>
      <w:r>
        <w:t>ANSI/BIFMA X5.4 certification required.</w:t>
      </w:r>
    </w:p>
    <w:p>
      <w:pPr>
        <w:spacing w:before="160" w:after="80"/>
      </w:pPr>
      <w:r>
        <w:rPr>
          <w:rFonts w:ascii="Arial" w:hAnsi="Arial"/>
          <w:b/>
          <w:sz w:val="22"/>
        </w:rPr>
        <w:t>CLIN 0004 — Coffee Table</w:t>
      </w:r>
    </w:p>
    <w:p>
      <w:pPr>
        <w:spacing w:after="120"/>
      </w:pPr>
      <w:r>
        <w:t>Quantity: 1 each</w:t>
      </w:r>
    </w:p>
    <w:p>
      <w:pPr>
        <w:pStyle w:val="ListBullet"/>
        <w:spacing w:after="60"/>
      </w:pPr>
      <w:r>
        <w:t>Dimensions: 36 to 48 inches long; 18 to 24 inches wide; 16 to 20 inches tall.</w:t>
      </w:r>
    </w:p>
    <w:p>
      <w:pPr>
        <w:pStyle w:val="ListBullet"/>
        <w:spacing w:after="60"/>
      </w:pPr>
      <w:r>
        <w:t>Top: wood, laminate, or tempered glass (1/2 inch minimum if glass).</w:t>
      </w:r>
    </w:p>
    <w:p>
      <w:pPr>
        <w:pStyle w:val="ListBullet"/>
        <w:spacing w:after="60"/>
      </w:pPr>
      <w:r>
        <w:t>Frame: commercial-grade.</w:t>
      </w:r>
    </w:p>
    <w:p>
      <w:pPr>
        <w:pStyle w:val="ListBullet"/>
        <w:spacing w:after="60"/>
      </w:pPr>
      <w:r>
        <w:t>Style: shall coordinate with CLIN 0003 lounge chairs.</w:t>
      </w:r>
    </w:p>
    <w:p>
      <w:pPr>
        <w:spacing w:before="160" w:after="80"/>
      </w:pPr>
      <w:r>
        <w:rPr>
          <w:rFonts w:ascii="Arial" w:hAnsi="Arial"/>
          <w:b/>
          <w:sz w:val="22"/>
        </w:rPr>
        <w:t>CLIN 0005 — Cafe-Height Bar Stool</w:t>
      </w:r>
    </w:p>
    <w:p>
      <w:pPr>
        <w:spacing w:after="120"/>
      </w:pPr>
      <w:r>
        <w:t>Quantity: 6 each</w:t>
      </w:r>
    </w:p>
    <w:p>
      <w:pPr>
        <w:pStyle w:val="ListBullet"/>
        <w:spacing w:after="60"/>
      </w:pPr>
      <w:r>
        <w:t>Seat height: 28 to 30 inches.</w:t>
      </w:r>
    </w:p>
    <w:p>
      <w:pPr>
        <w:pStyle w:val="ListBullet"/>
        <w:spacing w:after="60"/>
      </w:pPr>
      <w:r>
        <w:t>Frame: commercial-grade metal.</w:t>
      </w:r>
    </w:p>
    <w:p>
      <w:pPr>
        <w:pStyle w:val="ListBullet"/>
        <w:spacing w:after="60"/>
      </w:pPr>
      <w:r>
        <w:t>Footrest: integrated.</w:t>
      </w:r>
    </w:p>
    <w:p>
      <w:pPr>
        <w:pStyle w:val="ListBullet"/>
        <w:spacing w:after="60"/>
      </w:pPr>
      <w:r>
        <w:t>Back: low-back or backless (specify in quote).</w:t>
      </w:r>
    </w:p>
    <w:p>
      <w:pPr>
        <w:pStyle w:val="ListBullet"/>
        <w:spacing w:after="60"/>
      </w:pPr>
      <w:r>
        <w:t>Seat: upholstered, vinyl, or finished wood.</w:t>
      </w:r>
    </w:p>
    <w:p>
      <w:pPr>
        <w:pStyle w:val="ListBullet"/>
        <w:spacing w:after="60"/>
      </w:pPr>
      <w:r>
        <w:t>Color: coordinated with CLIN 0006 cafe tables.</w:t>
      </w:r>
    </w:p>
    <w:p>
      <w:pPr>
        <w:pStyle w:val="ListBullet"/>
        <w:spacing w:after="60"/>
      </w:pPr>
      <w:r>
        <w:t>Weight capacity: minimum 250 lbs.</w:t>
      </w:r>
    </w:p>
    <w:p>
      <w:pPr>
        <w:spacing w:before="160" w:after="80"/>
      </w:pPr>
      <w:r>
        <w:rPr>
          <w:rFonts w:ascii="Arial" w:hAnsi="Arial"/>
          <w:b/>
          <w:sz w:val="22"/>
        </w:rPr>
        <w:t>CLIN 0006 — 36-inch Round High-Top Cafe Table</w:t>
      </w:r>
    </w:p>
    <w:p>
      <w:pPr>
        <w:spacing w:after="120"/>
      </w:pPr>
      <w:r>
        <w:t>Quantity: 2 each</w:t>
      </w:r>
    </w:p>
    <w:p>
      <w:pPr>
        <w:pStyle w:val="ListBullet"/>
        <w:spacing w:after="60"/>
      </w:pPr>
      <w:r>
        <w:t>Diameter: 36 inches ± 2 inches.</w:t>
      </w:r>
    </w:p>
    <w:p>
      <w:pPr>
        <w:pStyle w:val="ListBullet"/>
        <w:spacing w:after="60"/>
      </w:pPr>
      <w:r>
        <w:t>Height: 41 to 42 inches (cafe / counter height).</w:t>
      </w:r>
    </w:p>
    <w:p>
      <w:pPr>
        <w:pStyle w:val="ListBullet"/>
        <w:spacing w:after="60"/>
      </w:pPr>
      <w:r>
        <w:t>Top: laminate or solid surface.</w:t>
      </w:r>
    </w:p>
    <w:p>
      <w:pPr>
        <w:pStyle w:val="ListBullet"/>
        <w:spacing w:after="60"/>
      </w:pPr>
      <w:r>
        <w:t>Base: pedestal with weighted base for stability.</w:t>
      </w:r>
    </w:p>
    <w:p>
      <w:pPr>
        <w:pStyle w:val="ListBullet"/>
        <w:spacing w:after="60"/>
      </w:pPr>
      <w:r>
        <w:t>Color: [INSERT].</w:t>
      </w:r>
    </w:p>
    <w:p>
      <w:pPr>
        <w:spacing w:before="160" w:after="80"/>
      </w:pPr>
      <w:r>
        <w:rPr>
          <w:rFonts w:ascii="Arial" w:hAnsi="Arial"/>
          <w:b/>
          <w:sz w:val="22"/>
        </w:rPr>
        <w:t>CLIN 0007 — Modular Storage Cabinet, Lockable</w:t>
      </w:r>
    </w:p>
    <w:p>
      <w:pPr>
        <w:spacing w:after="120"/>
      </w:pPr>
      <w:r>
        <w:t>Quantity: 2 each</w:t>
      </w:r>
    </w:p>
    <w:p>
      <w:pPr>
        <w:pStyle w:val="ListBullet"/>
        <w:spacing w:after="60"/>
      </w:pPr>
      <w:r>
        <w:t>Configuration: full-height storage, two adjustable shelves minimum.</w:t>
      </w:r>
    </w:p>
    <w:p>
      <w:pPr>
        <w:pStyle w:val="ListBullet"/>
        <w:spacing w:after="60"/>
      </w:pPr>
      <w:r>
        <w:t>Dimensions: approximately 36 inches wide x 18 to 24 inches deep x 65 to 72 inches tall.</w:t>
      </w:r>
    </w:p>
    <w:p>
      <w:pPr>
        <w:pStyle w:val="ListBullet"/>
        <w:spacing w:after="60"/>
      </w:pPr>
      <w:r>
        <w:t>Construction: commercial-grade laminate or veneer over substrate.</w:t>
      </w:r>
    </w:p>
    <w:p>
      <w:pPr>
        <w:pStyle w:val="ListBullet"/>
        <w:spacing w:after="60"/>
      </w:pPr>
      <w:r>
        <w:t>Doors: hinged, lockable with individual key (or cam-lock).</w:t>
      </w:r>
    </w:p>
    <w:p>
      <w:pPr>
        <w:pStyle w:val="ListBullet"/>
        <w:spacing w:after="60"/>
      </w:pPr>
      <w:r>
        <w:t>Finish: coordinated with CLIN 0001 conference table or as specified at site visit.</w:t>
      </w:r>
    </w:p>
    <w:p>
      <w:pPr>
        <w:spacing w:before="160" w:after="80"/>
      </w:pPr>
      <w:r>
        <w:rPr>
          <w:rFonts w:ascii="Arial" w:hAnsi="Arial"/>
          <w:b/>
          <w:sz w:val="22"/>
        </w:rPr>
        <w:t>CLIN 0008 — Installation Services (Ancillary SIN)</w:t>
      </w:r>
    </w:p>
    <w:p>
      <w:pPr>
        <w:spacing w:after="120"/>
      </w:pPr>
      <w:r>
        <w:t>Quantity: 1 lot</w:t>
      </w:r>
    </w:p>
    <w:p>
      <w:pPr>
        <w:pStyle w:val="ListBullet"/>
        <w:spacing w:after="60"/>
      </w:pPr>
      <w:r>
        <w:t>Receipt of all delivered items at the place of performance.</w:t>
      </w:r>
    </w:p>
    <w:p>
      <w:pPr>
        <w:pStyle w:val="ListBullet"/>
        <w:spacing w:after="60"/>
      </w:pPr>
      <w:r>
        <w:t>Inspection for damage at delivery; coordination with the COR.</w:t>
      </w:r>
    </w:p>
    <w:p>
      <w:pPr>
        <w:pStyle w:val="ListBullet"/>
        <w:spacing w:after="60"/>
      </w:pPr>
      <w:r>
        <w:t>Assembly and placement per the COR's layout.</w:t>
      </w:r>
    </w:p>
    <w:p>
      <w:pPr>
        <w:pStyle w:val="ListBullet"/>
        <w:spacing w:after="60"/>
      </w:pPr>
      <w:r>
        <w:t>Cable / grommet installation on the conference table.</w:t>
      </w:r>
    </w:p>
    <w:p>
      <w:pPr>
        <w:pStyle w:val="ListBullet"/>
        <w:spacing w:after="60"/>
      </w:pPr>
      <w:r>
        <w:t>Site protection during installation.</w:t>
      </w:r>
    </w:p>
    <w:p>
      <w:pPr>
        <w:pStyle w:val="ListBullet"/>
        <w:spacing w:after="60"/>
      </w:pPr>
      <w:r>
        <w:t>Removal of packaging and debris.</w:t>
      </w:r>
    </w:p>
    <w:p>
      <w:pPr>
        <w:pStyle w:val="ListBullet"/>
        <w:spacing w:after="60"/>
      </w:pPr>
      <w:r>
        <w:t>Final walk-through and acceptance with the COR.</w:t>
      </w:r>
    </w:p>
    <w:p>
      <w:pPr>
        <w:spacing w:before="280" w:after="120"/>
      </w:pPr>
      <w:r>
        <w:rPr>
          <w:rFonts w:ascii="Arial" w:hAnsi="Arial"/>
          <w:b/>
          <w:sz w:val="26"/>
        </w:rPr>
        <w:t>3.0  Acceptance Criteria</w:t>
      </w:r>
    </w:p>
    <w:p>
      <w:pPr>
        <w:pStyle w:val="ListBullet"/>
        <w:spacing w:after="60"/>
      </w:pPr>
      <w:r>
        <w:t>Items conform to all salient characteristics in Section 2.0 above.</w:t>
      </w:r>
    </w:p>
    <w:p>
      <w:pPr>
        <w:pStyle w:val="ListBullet"/>
        <w:spacing w:after="60"/>
      </w:pPr>
      <w:r>
        <w:t>Items conform to all general specifications in Section 1.0 above.</w:t>
      </w:r>
    </w:p>
    <w:p>
      <w:pPr>
        <w:pStyle w:val="ListBullet"/>
        <w:spacing w:after="60"/>
      </w:pPr>
      <w:r>
        <w:t>Items are free from visible damage, defects, or finish flaws.</w:t>
      </w:r>
    </w:p>
    <w:p>
      <w:pPr>
        <w:pStyle w:val="ListBullet"/>
        <w:spacing w:after="60"/>
      </w:pPr>
      <w:r>
        <w:t>Manufacturer's warranty documentation is delivered with the items.</w:t>
      </w:r>
    </w:p>
    <w:p>
      <w:pPr>
        <w:pStyle w:val="ListBullet"/>
        <w:spacing w:after="60"/>
      </w:pPr>
      <w:r>
        <w:t>Items are placed and assembled per the COR's layout (where Ancillary installation is in scope).</w:t>
      </w:r>
    </w:p>
    <w:p>
      <w:pPr>
        <w:pStyle w:val="ListBullet"/>
        <w:spacing w:after="60"/>
      </w:pPr>
      <w:r>
        <w:t>Acceptance is documented by the COR within one (1) business day of delivery and assembly completion.</w:t>
      </w:r>
    </w:p>
    <w:p>
      <w:pPr>
        <w:spacing w:before="280" w:after="120"/>
      </w:pPr>
      <w:r>
        <w:rPr>
          <w:rFonts w:ascii="Arial" w:hAnsi="Arial"/>
          <w:b/>
          <w:sz w:val="26"/>
        </w:rPr>
        <w:t>4.0  Substitutions</w:t>
      </w:r>
    </w:p>
    <w:p>
      <w:pPr>
        <w:spacing w:after="120"/>
      </w:pPr>
      <w:r>
        <w:t>Quoters proposing items that do not meet a salient characteristic shall identify the deviation in their quote and propose the substitute characteristic. The Contracting Officer reserves the right to determine that a deviation is material and renders the quote technically unacceptable. Aesthetic-only deviations (e.g., color, finish) within the ranges identified above will not render a quote technically unacceptable; structural, performance, and compliance deviations may.</w:t>
      </w:r>
    </w:p>
    <w:p>
      <w:pPr>
        <w:jc w:val="center"/>
      </w:pPr>
      <w:r>
        <w:rPr>
          <w:i/>
          <w:color w:val="7F7F7F"/>
          <w:sz w:val="16"/>
        </w:rPr>
        <w:t>Template developed for ContractingHQ (KTHQ.org) FAR Part 8 / GSAM 538.71 training. This document is a starting point; tailor every characteristic to your actual requirement, your site visit observations, and any agency-specific furniture standards before posting.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